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7EA3" w14:textId="77777777" w:rsidR="00912046" w:rsidRPr="00B55965" w:rsidRDefault="00912046" w:rsidP="00912046">
      <w:pPr>
        <w:spacing w:line="360" w:lineRule="auto"/>
        <w:jc w:val="center"/>
        <w:rPr>
          <w:rFonts w:eastAsia="Verdana"/>
          <w:b/>
          <w:sz w:val="20"/>
          <w:szCs w:val="20"/>
          <w:lang w:val="fr-FR"/>
        </w:rPr>
      </w:pPr>
    </w:p>
    <w:p w14:paraId="59782546" w14:textId="07C18914" w:rsidR="001B689C" w:rsidRPr="00B55965" w:rsidRDefault="001B689C" w:rsidP="00912046">
      <w:pPr>
        <w:spacing w:line="360" w:lineRule="auto"/>
        <w:jc w:val="center"/>
        <w:rPr>
          <w:rFonts w:eastAsia="Verdana"/>
          <w:b/>
          <w:sz w:val="32"/>
          <w:szCs w:val="32"/>
          <w:lang w:val="fr-FR"/>
        </w:rPr>
      </w:pPr>
      <w:r w:rsidRPr="00B55965">
        <w:rPr>
          <w:rFonts w:eastAsia="Verdana"/>
          <w:b/>
          <w:sz w:val="32"/>
          <w:szCs w:val="32"/>
          <w:lang w:val="fr-FR"/>
        </w:rPr>
        <w:t>Basware et</w:t>
      </w:r>
      <w:r w:rsidR="00140B63" w:rsidRPr="00B55965">
        <w:rPr>
          <w:rFonts w:eastAsia="Verdana"/>
          <w:b/>
          <w:sz w:val="32"/>
          <w:szCs w:val="32"/>
          <w:lang w:val="fr-FR"/>
        </w:rPr>
        <w:t xml:space="preserve"> TriFinance </w:t>
      </w:r>
      <w:r w:rsidRPr="00B55965">
        <w:rPr>
          <w:rFonts w:eastAsia="Verdana"/>
          <w:b/>
          <w:sz w:val="32"/>
          <w:szCs w:val="32"/>
          <w:lang w:val="fr-FR"/>
        </w:rPr>
        <w:t>concluent un partenariat pour une offre spécialisée de services Procure-to-Pay</w:t>
      </w:r>
      <w:r w:rsidR="002C43CB" w:rsidRPr="00B55965">
        <w:rPr>
          <w:rStyle w:val="Voetnootmarkering"/>
          <w:rFonts w:eastAsia="Verdana"/>
          <w:b/>
          <w:sz w:val="32"/>
          <w:szCs w:val="32"/>
          <w:lang w:val="fr-FR"/>
        </w:rPr>
        <w:footnoteReference w:id="1"/>
      </w:r>
    </w:p>
    <w:p w14:paraId="48F73D19" w14:textId="77777777" w:rsidR="00DF1EDB" w:rsidRPr="00B55965" w:rsidRDefault="00DF1EDB" w:rsidP="00912046">
      <w:pPr>
        <w:spacing w:line="360" w:lineRule="auto"/>
        <w:rPr>
          <w:rFonts w:eastAsia="Verdana"/>
          <w:sz w:val="20"/>
          <w:szCs w:val="20"/>
          <w:lang w:val="fr-FR"/>
        </w:rPr>
      </w:pPr>
    </w:p>
    <w:p w14:paraId="4FEFB329" w14:textId="70B39CD1" w:rsidR="001B689C" w:rsidRPr="00B55965" w:rsidRDefault="001B689C" w:rsidP="00912046">
      <w:pPr>
        <w:spacing w:line="360" w:lineRule="auto"/>
        <w:rPr>
          <w:rFonts w:eastAsia="Verdana"/>
          <w:b/>
          <w:sz w:val="20"/>
          <w:szCs w:val="20"/>
          <w:lang w:val="fr-FR"/>
        </w:rPr>
      </w:pPr>
      <w:r w:rsidRPr="00B55965">
        <w:rPr>
          <w:rFonts w:eastAsia="Verdana"/>
          <w:sz w:val="20"/>
          <w:szCs w:val="20"/>
          <w:lang w:val="fr-FR"/>
        </w:rPr>
        <w:t xml:space="preserve">Erembodegem/Anvers, le </w:t>
      </w:r>
      <w:r w:rsidR="00472016">
        <w:rPr>
          <w:rFonts w:eastAsia="Verdana"/>
          <w:sz w:val="20"/>
          <w:szCs w:val="20"/>
          <w:lang w:val="fr-FR"/>
        </w:rPr>
        <w:t>28</w:t>
      </w:r>
      <w:bookmarkStart w:id="0" w:name="_GoBack"/>
      <w:bookmarkEnd w:id="0"/>
      <w:r w:rsidRPr="00B55965">
        <w:rPr>
          <w:rFonts w:eastAsia="Verdana"/>
          <w:sz w:val="20"/>
          <w:szCs w:val="20"/>
          <w:lang w:val="fr-FR"/>
        </w:rPr>
        <w:t xml:space="preserve"> octob</w:t>
      </w:r>
      <w:r w:rsidR="00140B63" w:rsidRPr="00B55965">
        <w:rPr>
          <w:rFonts w:eastAsia="Verdana"/>
          <w:sz w:val="20"/>
          <w:szCs w:val="20"/>
          <w:lang w:val="fr-FR"/>
        </w:rPr>
        <w:t>r</w:t>
      </w:r>
      <w:r w:rsidRPr="00B55965">
        <w:rPr>
          <w:rFonts w:eastAsia="Verdana"/>
          <w:sz w:val="20"/>
          <w:szCs w:val="20"/>
          <w:lang w:val="fr-FR"/>
        </w:rPr>
        <w:t>e</w:t>
      </w:r>
      <w:r w:rsidR="00140B63" w:rsidRPr="00B55965">
        <w:rPr>
          <w:rFonts w:eastAsia="Verdana"/>
          <w:sz w:val="20"/>
          <w:szCs w:val="20"/>
          <w:lang w:val="fr-FR"/>
        </w:rPr>
        <w:t xml:space="preserve"> 2020 – </w:t>
      </w:r>
      <w:r w:rsidRPr="00B55965">
        <w:rPr>
          <w:rFonts w:eastAsia="Verdana"/>
          <w:b/>
          <w:sz w:val="20"/>
          <w:szCs w:val="20"/>
          <w:lang w:val="fr-FR"/>
        </w:rPr>
        <w:t xml:space="preserve">Basware et TriFinance Belgique ont conclu un partenariat pour collaborer au </w:t>
      </w:r>
      <w:r w:rsidR="00026AB3" w:rsidRPr="00B55965">
        <w:rPr>
          <w:rFonts w:eastAsia="Verdana"/>
          <w:b/>
          <w:sz w:val="20"/>
          <w:szCs w:val="20"/>
          <w:lang w:val="fr-FR"/>
        </w:rPr>
        <w:t>sujet</w:t>
      </w:r>
      <w:r w:rsidRPr="00B55965">
        <w:rPr>
          <w:rFonts w:eastAsia="Verdana"/>
          <w:b/>
          <w:sz w:val="20"/>
          <w:szCs w:val="20"/>
          <w:lang w:val="fr-FR"/>
        </w:rPr>
        <w:t xml:space="preserve"> d’une offre de services en matière de </w:t>
      </w:r>
      <w:r w:rsidR="0045234C" w:rsidRPr="00B55965">
        <w:rPr>
          <w:rFonts w:eastAsia="Verdana"/>
          <w:b/>
          <w:sz w:val="20"/>
          <w:szCs w:val="20"/>
          <w:lang w:val="fr-FR"/>
        </w:rPr>
        <w:t>l’</w:t>
      </w:r>
      <w:r w:rsidRPr="00B55965">
        <w:rPr>
          <w:rFonts w:eastAsia="Verdana"/>
          <w:b/>
          <w:sz w:val="20"/>
          <w:szCs w:val="20"/>
          <w:lang w:val="fr-FR"/>
        </w:rPr>
        <w:t xml:space="preserve">e-procurement. </w:t>
      </w:r>
      <w:r w:rsidR="00026AB3" w:rsidRPr="00B55965">
        <w:rPr>
          <w:rFonts w:eastAsia="Verdana"/>
          <w:b/>
          <w:sz w:val="20"/>
          <w:szCs w:val="20"/>
          <w:lang w:val="fr-FR"/>
        </w:rPr>
        <w:t>E</w:t>
      </w:r>
      <w:r w:rsidRPr="00B55965">
        <w:rPr>
          <w:rFonts w:eastAsia="Verdana"/>
          <w:b/>
          <w:sz w:val="20"/>
          <w:szCs w:val="20"/>
          <w:lang w:val="fr-FR"/>
        </w:rPr>
        <w:t>tant complémentaires, les deux entreprises peuvent offrir des solutions fortes et pragmatiques dans le domaine du Procure-to-Pay.</w:t>
      </w:r>
      <w:r w:rsidR="00026AB3" w:rsidRPr="00B55965">
        <w:rPr>
          <w:rFonts w:eastAsia="Verdana"/>
          <w:b/>
          <w:sz w:val="20"/>
          <w:szCs w:val="20"/>
          <w:lang w:val="fr-FR"/>
        </w:rPr>
        <w:t xml:space="preserve"> </w:t>
      </w:r>
      <w:r w:rsidR="00ED232A" w:rsidRPr="00B55965">
        <w:rPr>
          <w:rFonts w:eastAsia="Verdana"/>
          <w:b/>
          <w:sz w:val="20"/>
          <w:szCs w:val="20"/>
          <w:lang w:val="fr-FR"/>
        </w:rPr>
        <w:t xml:space="preserve">La collaboration démarre en Belgique et sera déployée après aux Pays-Bas et en Allemagne. </w:t>
      </w:r>
      <w:r w:rsidRPr="00B55965">
        <w:rPr>
          <w:rFonts w:eastAsia="Verdana"/>
          <w:b/>
          <w:sz w:val="20"/>
          <w:szCs w:val="20"/>
          <w:lang w:val="fr-FR"/>
        </w:rPr>
        <w:t xml:space="preserve"> </w:t>
      </w:r>
    </w:p>
    <w:p w14:paraId="0A238EB7" w14:textId="77777777" w:rsidR="00DF1EDB" w:rsidRPr="00B55965" w:rsidRDefault="00DF1EDB" w:rsidP="00912046">
      <w:pPr>
        <w:spacing w:line="360" w:lineRule="auto"/>
        <w:rPr>
          <w:rFonts w:eastAsia="Verdana"/>
          <w:sz w:val="20"/>
          <w:szCs w:val="20"/>
          <w:lang w:val="fr-FR"/>
        </w:rPr>
      </w:pPr>
    </w:p>
    <w:p w14:paraId="1126AD45" w14:textId="3023446D" w:rsidR="00DF1EDB" w:rsidRPr="00B55965" w:rsidRDefault="00AA0F4D" w:rsidP="00912046">
      <w:pPr>
        <w:spacing w:line="360" w:lineRule="auto"/>
        <w:rPr>
          <w:rFonts w:eastAsia="Verdana"/>
          <w:b/>
          <w:sz w:val="20"/>
          <w:szCs w:val="20"/>
          <w:lang w:val="fr-FR"/>
        </w:rPr>
      </w:pPr>
      <w:r w:rsidRPr="00B55965">
        <w:rPr>
          <w:rFonts w:eastAsia="Verdana"/>
          <w:b/>
          <w:sz w:val="20"/>
          <w:szCs w:val="20"/>
          <w:lang w:val="fr-FR"/>
        </w:rPr>
        <w:t>Optimisation de</w:t>
      </w:r>
      <w:r w:rsidR="0045234C" w:rsidRPr="00B55965">
        <w:rPr>
          <w:rFonts w:eastAsia="Verdana"/>
          <w:b/>
          <w:sz w:val="20"/>
          <w:szCs w:val="20"/>
          <w:lang w:val="fr-FR"/>
        </w:rPr>
        <w:t>s</w:t>
      </w:r>
      <w:r w:rsidRPr="00B55965">
        <w:rPr>
          <w:rFonts w:eastAsia="Verdana"/>
          <w:b/>
          <w:sz w:val="20"/>
          <w:szCs w:val="20"/>
          <w:lang w:val="fr-FR"/>
        </w:rPr>
        <w:t xml:space="preserve"> processus</w:t>
      </w:r>
    </w:p>
    <w:p w14:paraId="18D862AC" w14:textId="46412656" w:rsidR="00AA0F4D" w:rsidRPr="00B55965" w:rsidRDefault="00AA0F4D" w:rsidP="00912046">
      <w:pPr>
        <w:spacing w:line="360" w:lineRule="auto"/>
        <w:rPr>
          <w:rFonts w:eastAsia="Verdana"/>
          <w:sz w:val="20"/>
          <w:szCs w:val="20"/>
          <w:lang w:val="fr-FR"/>
        </w:rPr>
      </w:pPr>
      <w:r w:rsidRPr="00B55965">
        <w:rPr>
          <w:rFonts w:eastAsia="Verdana"/>
          <w:sz w:val="20"/>
          <w:szCs w:val="20"/>
          <w:lang w:val="fr-FR"/>
        </w:rPr>
        <w:t xml:space="preserve">La collaboration concrète entre Basware et TriFinance </w:t>
      </w:r>
      <w:r w:rsidR="0017523E" w:rsidRPr="00B55965">
        <w:rPr>
          <w:rFonts w:eastAsia="Verdana"/>
          <w:sz w:val="20"/>
          <w:szCs w:val="20"/>
          <w:lang w:val="fr-FR"/>
        </w:rPr>
        <w:t xml:space="preserve">est réalisée </w:t>
      </w:r>
      <w:r w:rsidRPr="00B55965">
        <w:rPr>
          <w:rFonts w:eastAsia="Verdana"/>
          <w:sz w:val="20"/>
          <w:szCs w:val="20"/>
          <w:lang w:val="fr-FR"/>
        </w:rPr>
        <w:t>par les TriFinance Blue Chip Boutique CFO Services, une des unités de conse</w:t>
      </w:r>
      <w:r w:rsidR="0017523E" w:rsidRPr="00B55965">
        <w:rPr>
          <w:rFonts w:eastAsia="Verdana"/>
          <w:sz w:val="20"/>
          <w:szCs w:val="20"/>
          <w:lang w:val="fr-FR"/>
        </w:rPr>
        <w:t>il spécialisée en management de</w:t>
      </w:r>
      <w:r w:rsidRPr="00B55965">
        <w:rPr>
          <w:rFonts w:eastAsia="Verdana"/>
          <w:sz w:val="20"/>
          <w:szCs w:val="20"/>
          <w:lang w:val="fr-FR"/>
        </w:rPr>
        <w:t xml:space="preserve"> risques, optimisation</w:t>
      </w:r>
      <w:r w:rsidR="0017523E" w:rsidRPr="00B55965">
        <w:rPr>
          <w:rFonts w:eastAsia="Verdana"/>
          <w:sz w:val="20"/>
          <w:szCs w:val="20"/>
          <w:lang w:val="fr-FR"/>
        </w:rPr>
        <w:t xml:space="preserve"> de processus et transformation</w:t>
      </w:r>
      <w:r w:rsidRPr="00B55965">
        <w:rPr>
          <w:rFonts w:eastAsia="Verdana"/>
          <w:sz w:val="20"/>
          <w:szCs w:val="20"/>
          <w:lang w:val="fr-FR"/>
        </w:rPr>
        <w:t xml:space="preserve">. </w:t>
      </w:r>
    </w:p>
    <w:p w14:paraId="74724FEB" w14:textId="77777777" w:rsidR="00DF1EDB" w:rsidRPr="00B55965" w:rsidRDefault="00DF1EDB" w:rsidP="00912046">
      <w:pPr>
        <w:spacing w:line="360" w:lineRule="auto"/>
        <w:rPr>
          <w:rFonts w:eastAsia="Verdana"/>
          <w:sz w:val="20"/>
          <w:szCs w:val="20"/>
          <w:lang w:val="fr-FR"/>
        </w:rPr>
      </w:pPr>
    </w:p>
    <w:p w14:paraId="3B5ED08A" w14:textId="5E9332AD" w:rsidR="00242213" w:rsidRPr="00B55965" w:rsidRDefault="00140B63" w:rsidP="00912046">
      <w:pPr>
        <w:spacing w:line="360" w:lineRule="auto"/>
        <w:rPr>
          <w:rFonts w:eastAsia="Verdana"/>
          <w:i/>
          <w:sz w:val="20"/>
          <w:szCs w:val="20"/>
          <w:lang w:val="fr-FR"/>
        </w:rPr>
      </w:pPr>
      <w:r w:rsidRPr="00B55965">
        <w:rPr>
          <w:rFonts w:eastAsia="Verdana"/>
          <w:sz w:val="20"/>
          <w:szCs w:val="20"/>
          <w:lang w:val="fr-FR"/>
        </w:rPr>
        <w:t>‘</w:t>
      </w:r>
      <w:r w:rsidRPr="00B55965">
        <w:rPr>
          <w:rFonts w:eastAsia="Verdana"/>
          <w:i/>
          <w:sz w:val="20"/>
          <w:szCs w:val="20"/>
          <w:lang w:val="fr-FR"/>
        </w:rPr>
        <w:t xml:space="preserve">Basware </w:t>
      </w:r>
      <w:r w:rsidR="00242213" w:rsidRPr="00B55965">
        <w:rPr>
          <w:rFonts w:eastAsia="Verdana"/>
          <w:i/>
          <w:sz w:val="20"/>
          <w:szCs w:val="20"/>
          <w:lang w:val="fr-FR"/>
        </w:rPr>
        <w:t xml:space="preserve">est un acteur global fort’, témoigne </w:t>
      </w:r>
      <w:r w:rsidR="00242213" w:rsidRPr="00B55965">
        <w:rPr>
          <w:rFonts w:eastAsia="Verdana"/>
          <w:bCs/>
          <w:sz w:val="20"/>
          <w:szCs w:val="20"/>
          <w:lang w:val="fr-FR"/>
        </w:rPr>
        <w:t>Filip Ceulemans</w:t>
      </w:r>
      <w:r w:rsidR="00242213" w:rsidRPr="00B55965">
        <w:rPr>
          <w:rFonts w:eastAsia="Verdana"/>
          <w:b/>
          <w:sz w:val="20"/>
          <w:szCs w:val="20"/>
          <w:lang w:val="fr-FR"/>
        </w:rPr>
        <w:t xml:space="preserve">, </w:t>
      </w:r>
      <w:r w:rsidR="00242213" w:rsidRPr="00B55965">
        <w:rPr>
          <w:rFonts w:eastAsia="Verdana"/>
          <w:sz w:val="20"/>
          <w:szCs w:val="20"/>
          <w:lang w:val="fr-FR"/>
        </w:rPr>
        <w:t>CFO Services Client Partner. ‘</w:t>
      </w:r>
      <w:r w:rsidR="00242213" w:rsidRPr="00B55965">
        <w:rPr>
          <w:rFonts w:eastAsia="Verdana"/>
          <w:i/>
          <w:sz w:val="20"/>
          <w:szCs w:val="20"/>
          <w:lang w:val="fr-FR"/>
        </w:rPr>
        <w:t>Dans les projets où nous voulons optimiser le processus Procure-to-Pay chez nos clients, la technologie</w:t>
      </w:r>
      <w:r w:rsidR="00F05ABD" w:rsidRPr="00B55965">
        <w:rPr>
          <w:rFonts w:eastAsia="Verdana"/>
          <w:i/>
          <w:sz w:val="20"/>
          <w:szCs w:val="20"/>
          <w:lang w:val="fr-FR"/>
        </w:rPr>
        <w:t xml:space="preserve"> de</w:t>
      </w:r>
      <w:r w:rsidR="00242213" w:rsidRPr="00B55965">
        <w:rPr>
          <w:rFonts w:eastAsia="Verdana"/>
          <w:i/>
          <w:sz w:val="20"/>
          <w:szCs w:val="20"/>
          <w:lang w:val="fr-FR"/>
        </w:rPr>
        <w:t xml:space="preserve"> Basware est une plus-value de taille pour nos </w:t>
      </w:r>
      <w:r w:rsidR="00D811D9" w:rsidRPr="00B55965">
        <w:rPr>
          <w:rFonts w:eastAsia="Verdana"/>
          <w:i/>
          <w:sz w:val="20"/>
          <w:szCs w:val="20"/>
          <w:lang w:val="fr-FR"/>
        </w:rPr>
        <w:t>amé</w:t>
      </w:r>
      <w:r w:rsidR="00242213" w:rsidRPr="00B55965">
        <w:rPr>
          <w:rFonts w:eastAsia="Verdana"/>
          <w:i/>
          <w:sz w:val="20"/>
          <w:szCs w:val="20"/>
          <w:lang w:val="fr-FR"/>
        </w:rPr>
        <w:t>liorations de processus.</w:t>
      </w:r>
      <w:r w:rsidR="00D811D9" w:rsidRPr="00B55965">
        <w:rPr>
          <w:rFonts w:eastAsia="Verdana"/>
          <w:i/>
          <w:sz w:val="20"/>
          <w:szCs w:val="20"/>
          <w:lang w:val="fr-FR"/>
        </w:rPr>
        <w:t xml:space="preserve"> Le choix pour Basware s’intègre dans notre stratégie qui vise à collaborer structurellement avec des partenaires en technologie pour l’</w:t>
      </w:r>
      <w:r w:rsidR="001B17E7" w:rsidRPr="00B55965">
        <w:rPr>
          <w:rFonts w:eastAsia="Verdana"/>
          <w:i/>
          <w:sz w:val="20"/>
          <w:szCs w:val="20"/>
          <w:lang w:val="fr-FR"/>
        </w:rPr>
        <w:t xml:space="preserve">optimisation des </w:t>
      </w:r>
      <w:r w:rsidR="00D811D9" w:rsidRPr="00B55965">
        <w:rPr>
          <w:rFonts w:eastAsia="Verdana"/>
          <w:i/>
          <w:sz w:val="20"/>
          <w:szCs w:val="20"/>
          <w:lang w:val="fr-FR"/>
        </w:rPr>
        <w:t xml:space="preserve">processus </w:t>
      </w:r>
      <w:r w:rsidR="00A64665" w:rsidRPr="00B55965">
        <w:rPr>
          <w:rFonts w:eastAsia="Verdana"/>
          <w:i/>
          <w:sz w:val="20"/>
          <w:szCs w:val="20"/>
          <w:lang w:val="fr-FR"/>
        </w:rPr>
        <w:t>commerciaux.</w:t>
      </w:r>
      <w:r w:rsidR="00A64665" w:rsidRPr="00B55965">
        <w:rPr>
          <w:rFonts w:eastAsia="Verdana"/>
          <w:sz w:val="20"/>
          <w:szCs w:val="20"/>
          <w:lang w:val="fr-FR"/>
        </w:rPr>
        <w:t>’</w:t>
      </w:r>
    </w:p>
    <w:p w14:paraId="6462D7E9" w14:textId="77777777" w:rsidR="00DF1EDB" w:rsidRPr="00B55965" w:rsidRDefault="00DF1EDB" w:rsidP="00912046">
      <w:pPr>
        <w:spacing w:line="360" w:lineRule="auto"/>
        <w:rPr>
          <w:rFonts w:eastAsia="Verdana"/>
          <w:sz w:val="20"/>
          <w:szCs w:val="20"/>
          <w:lang w:val="fr-FR"/>
        </w:rPr>
      </w:pPr>
    </w:p>
    <w:p w14:paraId="4E8A89D7" w14:textId="2D617AE0" w:rsidR="00A64665" w:rsidRPr="00B55965" w:rsidRDefault="00A64665" w:rsidP="00912046">
      <w:pPr>
        <w:spacing w:line="360" w:lineRule="auto"/>
        <w:rPr>
          <w:rFonts w:eastAsia="Verdana"/>
          <w:sz w:val="20"/>
          <w:szCs w:val="20"/>
          <w:lang w:val="fr-FR"/>
        </w:rPr>
      </w:pPr>
      <w:r w:rsidRPr="00B55965">
        <w:rPr>
          <w:rFonts w:eastAsia="Verdana"/>
          <w:sz w:val="20"/>
          <w:szCs w:val="20"/>
          <w:lang w:val="fr-FR"/>
        </w:rPr>
        <w:t xml:space="preserve">L’objectif de ce partenariat est </w:t>
      </w:r>
      <w:r w:rsidR="00BC7A2E" w:rsidRPr="00B55965">
        <w:rPr>
          <w:rFonts w:eastAsia="Verdana"/>
          <w:sz w:val="20"/>
          <w:szCs w:val="20"/>
          <w:lang w:val="fr-FR"/>
        </w:rPr>
        <w:t>entre autre</w:t>
      </w:r>
      <w:r w:rsidR="001B17E7" w:rsidRPr="00B55965">
        <w:rPr>
          <w:rFonts w:eastAsia="Verdana"/>
          <w:sz w:val="20"/>
          <w:szCs w:val="20"/>
          <w:lang w:val="fr-FR"/>
        </w:rPr>
        <w:t>s</w:t>
      </w:r>
      <w:r w:rsidR="00BC7A2E" w:rsidRPr="00B55965">
        <w:rPr>
          <w:rFonts w:eastAsia="Verdana"/>
          <w:sz w:val="20"/>
          <w:szCs w:val="20"/>
          <w:lang w:val="fr-FR"/>
        </w:rPr>
        <w:t xml:space="preserve"> que les clients existants puissent bénéficier </w:t>
      </w:r>
      <w:r w:rsidR="009A304D" w:rsidRPr="00B55965">
        <w:rPr>
          <w:rFonts w:eastAsia="Verdana"/>
          <w:sz w:val="20"/>
          <w:szCs w:val="20"/>
          <w:lang w:val="fr-FR"/>
        </w:rPr>
        <w:t>de</w:t>
      </w:r>
      <w:r w:rsidR="00675973" w:rsidRPr="00B55965">
        <w:rPr>
          <w:rFonts w:eastAsia="Verdana"/>
          <w:sz w:val="20"/>
          <w:szCs w:val="20"/>
          <w:lang w:val="fr-FR"/>
        </w:rPr>
        <w:t xml:space="preserve"> la fertilisation croisée entre les deux entreprises. </w:t>
      </w:r>
      <w:r w:rsidR="00BC7A2E" w:rsidRPr="00B55965">
        <w:rPr>
          <w:rFonts w:eastAsia="Verdana"/>
          <w:sz w:val="20"/>
          <w:szCs w:val="20"/>
          <w:lang w:val="fr-FR"/>
        </w:rPr>
        <w:t xml:space="preserve"> </w:t>
      </w:r>
      <w:r w:rsidR="001B17E7" w:rsidRPr="00B55965">
        <w:rPr>
          <w:rFonts w:eastAsia="Verdana"/>
          <w:sz w:val="20"/>
          <w:szCs w:val="20"/>
          <w:lang w:val="fr-FR"/>
        </w:rPr>
        <w:t>D’une part,</w:t>
      </w:r>
      <w:r w:rsidR="00675973" w:rsidRPr="00B55965">
        <w:rPr>
          <w:rFonts w:eastAsia="Verdana"/>
          <w:sz w:val="20"/>
          <w:szCs w:val="20"/>
          <w:lang w:val="fr-FR"/>
        </w:rPr>
        <w:t xml:space="preserve"> Basware peut introduire TriFinance pour l’encadrement conceptuel et les cons</w:t>
      </w:r>
      <w:r w:rsidR="005A116A" w:rsidRPr="00B55965">
        <w:rPr>
          <w:rFonts w:eastAsia="Verdana"/>
          <w:sz w:val="20"/>
          <w:szCs w:val="20"/>
          <w:lang w:val="fr-FR"/>
        </w:rPr>
        <w:t xml:space="preserve">eils pragmatiques. </w:t>
      </w:r>
      <w:r w:rsidR="001B17E7" w:rsidRPr="00B55965">
        <w:rPr>
          <w:rFonts w:eastAsia="Verdana"/>
          <w:sz w:val="20"/>
          <w:szCs w:val="20"/>
          <w:lang w:val="fr-FR"/>
        </w:rPr>
        <w:t>D’autre part, l</w:t>
      </w:r>
      <w:r w:rsidR="005A116A" w:rsidRPr="00B55965">
        <w:rPr>
          <w:rFonts w:eastAsia="Verdana"/>
          <w:sz w:val="20"/>
          <w:szCs w:val="20"/>
          <w:lang w:val="fr-FR"/>
        </w:rPr>
        <w:t xml:space="preserve">a nouvelle collaboration </w:t>
      </w:r>
      <w:r w:rsidR="00FC2464" w:rsidRPr="00B55965">
        <w:rPr>
          <w:rFonts w:eastAsia="Verdana"/>
          <w:sz w:val="20"/>
          <w:szCs w:val="20"/>
          <w:lang w:val="fr-FR"/>
        </w:rPr>
        <w:t xml:space="preserve">signifie pour Basware de nettes économies d’échelle, parce que TriFinance reprend les solutions de Basware concernant </w:t>
      </w:r>
      <w:r w:rsidR="00F20F5F" w:rsidRPr="00B55965">
        <w:rPr>
          <w:rFonts w:eastAsia="Verdana"/>
          <w:sz w:val="20"/>
          <w:szCs w:val="20"/>
          <w:lang w:val="fr-FR"/>
        </w:rPr>
        <w:t xml:space="preserve">le procurement dans des analyses de rentabilité, notamment celles où le choix des fournisseurs sur base de RFQ est la norme. </w:t>
      </w:r>
    </w:p>
    <w:p w14:paraId="4B53CB41" w14:textId="77777777" w:rsidR="00DF1EDB" w:rsidRPr="00B55965" w:rsidRDefault="00DF1EDB" w:rsidP="00912046">
      <w:pPr>
        <w:spacing w:line="360" w:lineRule="auto"/>
        <w:rPr>
          <w:rFonts w:eastAsia="Verdana"/>
          <w:sz w:val="20"/>
          <w:szCs w:val="20"/>
          <w:lang w:val="fr-FR"/>
        </w:rPr>
      </w:pPr>
    </w:p>
    <w:p w14:paraId="68A95A6C" w14:textId="69158446" w:rsidR="00DF1EDB" w:rsidRPr="00B55965" w:rsidRDefault="00F20F5F" w:rsidP="00912046">
      <w:pPr>
        <w:spacing w:line="360" w:lineRule="auto"/>
        <w:rPr>
          <w:rFonts w:eastAsia="Verdana"/>
          <w:b/>
          <w:sz w:val="20"/>
          <w:szCs w:val="20"/>
          <w:lang w:val="fr-FR"/>
        </w:rPr>
      </w:pPr>
      <w:r w:rsidRPr="00B55965">
        <w:rPr>
          <w:rFonts w:eastAsia="Verdana"/>
          <w:b/>
          <w:sz w:val="20"/>
          <w:szCs w:val="20"/>
          <w:lang w:val="fr-FR"/>
        </w:rPr>
        <w:t>Solution finale optimale</w:t>
      </w:r>
    </w:p>
    <w:p w14:paraId="79804E7D" w14:textId="65ECD3CD" w:rsidR="00F20F5F" w:rsidRPr="00B55965" w:rsidRDefault="00F20F5F" w:rsidP="00912046">
      <w:pPr>
        <w:spacing w:line="360" w:lineRule="auto"/>
        <w:rPr>
          <w:rFonts w:eastAsia="Verdana"/>
          <w:sz w:val="20"/>
          <w:szCs w:val="20"/>
          <w:lang w:val="fr-FR"/>
        </w:rPr>
      </w:pPr>
      <w:r w:rsidRPr="00B55965">
        <w:rPr>
          <w:rFonts w:eastAsia="Verdana"/>
          <w:sz w:val="20"/>
          <w:szCs w:val="20"/>
          <w:lang w:val="fr-FR"/>
        </w:rPr>
        <w:t xml:space="preserve">Il va de soi que de nouveaux projets communs peuvent être lancés conjointement, </w:t>
      </w:r>
      <w:r w:rsidR="00CB695D" w:rsidRPr="00B55965">
        <w:rPr>
          <w:rFonts w:eastAsia="Verdana"/>
          <w:sz w:val="20"/>
          <w:szCs w:val="20"/>
          <w:lang w:val="fr-FR"/>
        </w:rPr>
        <w:t xml:space="preserve">en vue d’offrir </w:t>
      </w:r>
      <w:r w:rsidR="009936C5" w:rsidRPr="00B55965">
        <w:rPr>
          <w:rFonts w:eastAsia="Verdana"/>
          <w:sz w:val="20"/>
          <w:szCs w:val="20"/>
          <w:lang w:val="fr-FR"/>
        </w:rPr>
        <w:t xml:space="preserve">aux clients </w:t>
      </w:r>
      <w:r w:rsidR="00CB695D" w:rsidRPr="00B55965">
        <w:rPr>
          <w:rFonts w:eastAsia="Verdana"/>
          <w:sz w:val="20"/>
          <w:szCs w:val="20"/>
          <w:lang w:val="fr-FR"/>
        </w:rPr>
        <w:t xml:space="preserve">une solution </w:t>
      </w:r>
      <w:r w:rsidR="009936C5" w:rsidRPr="00B55965">
        <w:rPr>
          <w:rFonts w:eastAsia="Verdana"/>
          <w:sz w:val="20"/>
          <w:szCs w:val="20"/>
          <w:lang w:val="fr-FR"/>
        </w:rPr>
        <w:t>globale</w:t>
      </w:r>
      <w:r w:rsidR="00CB695D" w:rsidRPr="00B55965">
        <w:rPr>
          <w:rFonts w:eastAsia="Verdana"/>
          <w:sz w:val="20"/>
          <w:szCs w:val="20"/>
          <w:lang w:val="fr-FR"/>
        </w:rPr>
        <w:t xml:space="preserve"> sur mesure. </w:t>
      </w:r>
      <w:r w:rsidR="000435F7" w:rsidRPr="00B55965">
        <w:rPr>
          <w:rFonts w:eastAsia="Verdana"/>
          <w:sz w:val="20"/>
          <w:szCs w:val="20"/>
          <w:lang w:val="fr-FR"/>
        </w:rPr>
        <w:t xml:space="preserve">Le client final reçoit ainsi une solution finale optimale qui comprend les services-SaaS de Basware ainsi que l’encadrement </w:t>
      </w:r>
      <w:r w:rsidR="009936C5" w:rsidRPr="00B55965">
        <w:rPr>
          <w:rFonts w:eastAsia="Verdana"/>
          <w:sz w:val="20"/>
          <w:szCs w:val="20"/>
          <w:lang w:val="fr-FR"/>
        </w:rPr>
        <w:t>entier</w:t>
      </w:r>
      <w:r w:rsidR="000435F7" w:rsidRPr="00B55965">
        <w:rPr>
          <w:rFonts w:eastAsia="Verdana"/>
          <w:sz w:val="20"/>
          <w:szCs w:val="20"/>
          <w:lang w:val="fr-FR"/>
        </w:rPr>
        <w:t xml:space="preserve"> de TriFinance : la consultance, la gestion du changement, l’optimisation commerciale, etc …</w:t>
      </w:r>
    </w:p>
    <w:p w14:paraId="20BCFE29" w14:textId="77777777" w:rsidR="00DF1EDB" w:rsidRPr="00B55965" w:rsidRDefault="00DF1EDB" w:rsidP="00912046">
      <w:pPr>
        <w:spacing w:line="360" w:lineRule="auto"/>
        <w:rPr>
          <w:rFonts w:eastAsia="Verdana"/>
          <w:sz w:val="20"/>
          <w:szCs w:val="20"/>
          <w:lang w:val="fr-FR"/>
        </w:rPr>
      </w:pPr>
    </w:p>
    <w:p w14:paraId="23FDE4FF" w14:textId="77777777" w:rsidR="00912046" w:rsidRPr="00B55965" w:rsidRDefault="00912046" w:rsidP="00912046">
      <w:pPr>
        <w:spacing w:line="360" w:lineRule="auto"/>
        <w:rPr>
          <w:rFonts w:eastAsia="Verdana"/>
          <w:bCs/>
          <w:sz w:val="20"/>
          <w:szCs w:val="20"/>
          <w:lang w:val="fr-FR"/>
        </w:rPr>
      </w:pPr>
      <w:bookmarkStart w:id="1" w:name="_heading=h.gjdgxs" w:colFirst="0" w:colLast="0"/>
      <w:bookmarkEnd w:id="1"/>
    </w:p>
    <w:p w14:paraId="5E67C8A2" w14:textId="77777777" w:rsidR="00912046" w:rsidRPr="00B55965" w:rsidRDefault="00912046" w:rsidP="00912046">
      <w:pPr>
        <w:spacing w:line="360" w:lineRule="auto"/>
        <w:rPr>
          <w:rFonts w:eastAsia="Verdana"/>
          <w:bCs/>
          <w:sz w:val="20"/>
          <w:szCs w:val="20"/>
          <w:lang w:val="fr-FR"/>
        </w:rPr>
      </w:pPr>
    </w:p>
    <w:p w14:paraId="71347836" w14:textId="77777777" w:rsidR="00912046" w:rsidRPr="00B55965" w:rsidRDefault="00912046" w:rsidP="00912046">
      <w:pPr>
        <w:spacing w:line="360" w:lineRule="auto"/>
        <w:rPr>
          <w:rFonts w:eastAsia="Verdana"/>
          <w:bCs/>
          <w:sz w:val="20"/>
          <w:szCs w:val="20"/>
          <w:lang w:val="fr-FR"/>
        </w:rPr>
      </w:pPr>
    </w:p>
    <w:p w14:paraId="474F621D" w14:textId="04F49E4A" w:rsidR="000435F7" w:rsidRPr="00B55965" w:rsidRDefault="00140B63" w:rsidP="00912046">
      <w:pPr>
        <w:spacing w:line="360" w:lineRule="auto"/>
        <w:rPr>
          <w:rFonts w:eastAsia="Verdana"/>
          <w:sz w:val="20"/>
          <w:szCs w:val="20"/>
          <w:lang w:val="fr-FR"/>
        </w:rPr>
      </w:pPr>
      <w:r w:rsidRPr="00B55965">
        <w:rPr>
          <w:rFonts w:eastAsia="Verdana"/>
          <w:bCs/>
          <w:sz w:val="20"/>
          <w:szCs w:val="20"/>
          <w:lang w:val="fr-FR"/>
        </w:rPr>
        <w:t>Dany De Budt</w:t>
      </w:r>
      <w:r w:rsidRPr="00B55965">
        <w:rPr>
          <w:rFonts w:eastAsia="Verdana"/>
          <w:sz w:val="20"/>
          <w:szCs w:val="20"/>
          <w:lang w:val="fr-FR"/>
        </w:rPr>
        <w:t xml:space="preserve">, </w:t>
      </w:r>
      <w:r w:rsidR="000435F7" w:rsidRPr="00B55965">
        <w:rPr>
          <w:rFonts w:eastAsia="Verdana"/>
          <w:sz w:val="20"/>
          <w:szCs w:val="20"/>
          <w:lang w:val="fr-FR"/>
        </w:rPr>
        <w:t>directeur pays</w:t>
      </w:r>
      <w:r w:rsidRPr="00B55965">
        <w:rPr>
          <w:rFonts w:eastAsia="Verdana"/>
          <w:sz w:val="20"/>
          <w:szCs w:val="20"/>
          <w:lang w:val="fr-FR"/>
        </w:rPr>
        <w:t xml:space="preserve"> </w:t>
      </w:r>
      <w:r w:rsidR="000435F7" w:rsidRPr="00B55965">
        <w:rPr>
          <w:rFonts w:eastAsia="Verdana"/>
          <w:sz w:val="20"/>
          <w:szCs w:val="20"/>
          <w:lang w:val="fr-FR"/>
        </w:rPr>
        <w:t>chez</w:t>
      </w:r>
      <w:r w:rsidRPr="00B55965">
        <w:rPr>
          <w:rFonts w:eastAsia="Verdana"/>
          <w:sz w:val="20"/>
          <w:szCs w:val="20"/>
          <w:lang w:val="fr-FR"/>
        </w:rPr>
        <w:t xml:space="preserve"> Basware Benelux</w:t>
      </w:r>
      <w:r w:rsidR="00F05ABD" w:rsidRPr="00B55965">
        <w:rPr>
          <w:rFonts w:eastAsia="Verdana"/>
          <w:sz w:val="20"/>
          <w:szCs w:val="20"/>
          <w:lang w:val="fr-FR"/>
        </w:rPr>
        <w:t xml:space="preserve"> </w:t>
      </w:r>
      <w:r w:rsidRPr="00B55965">
        <w:rPr>
          <w:rFonts w:eastAsia="Verdana"/>
          <w:sz w:val="20"/>
          <w:szCs w:val="20"/>
          <w:lang w:val="fr-FR"/>
        </w:rPr>
        <w:t>: “</w:t>
      </w:r>
      <w:r w:rsidR="000435F7" w:rsidRPr="00B55965">
        <w:rPr>
          <w:rFonts w:eastAsia="Verdana"/>
          <w:i/>
          <w:sz w:val="20"/>
          <w:szCs w:val="20"/>
          <w:lang w:val="fr-FR"/>
        </w:rPr>
        <w:t xml:space="preserve">Les services de Basware et </w:t>
      </w:r>
      <w:r w:rsidR="009936C5" w:rsidRPr="00B55965">
        <w:rPr>
          <w:rFonts w:eastAsia="Verdana"/>
          <w:i/>
          <w:sz w:val="20"/>
          <w:szCs w:val="20"/>
          <w:lang w:val="fr-FR"/>
        </w:rPr>
        <w:t xml:space="preserve">de </w:t>
      </w:r>
      <w:r w:rsidR="000435F7" w:rsidRPr="00B55965">
        <w:rPr>
          <w:rFonts w:eastAsia="Verdana"/>
          <w:i/>
          <w:sz w:val="20"/>
          <w:szCs w:val="20"/>
          <w:lang w:val="fr-FR"/>
        </w:rPr>
        <w:t xml:space="preserve">TriFinance sont </w:t>
      </w:r>
      <w:r w:rsidR="009936C5" w:rsidRPr="00B55965">
        <w:rPr>
          <w:rFonts w:eastAsia="Verdana"/>
          <w:i/>
          <w:sz w:val="20"/>
          <w:szCs w:val="20"/>
          <w:lang w:val="fr-FR"/>
        </w:rPr>
        <w:t>très</w:t>
      </w:r>
      <w:r w:rsidR="000435F7" w:rsidRPr="00B55965">
        <w:rPr>
          <w:rFonts w:eastAsia="Verdana"/>
          <w:i/>
          <w:sz w:val="20"/>
          <w:szCs w:val="20"/>
          <w:lang w:val="fr-FR"/>
        </w:rPr>
        <w:t xml:space="preserve"> complémentaires et offrent une énorme valeur ajoutée à nos client</w:t>
      </w:r>
      <w:r w:rsidR="009936C5" w:rsidRPr="00B55965">
        <w:rPr>
          <w:rFonts w:eastAsia="Verdana"/>
          <w:i/>
          <w:sz w:val="20"/>
          <w:szCs w:val="20"/>
          <w:lang w:val="fr-FR"/>
        </w:rPr>
        <w:t>s</w:t>
      </w:r>
      <w:r w:rsidR="000435F7" w:rsidRPr="00B55965">
        <w:rPr>
          <w:rFonts w:eastAsia="Verdana"/>
          <w:i/>
          <w:sz w:val="20"/>
          <w:szCs w:val="20"/>
          <w:lang w:val="fr-FR"/>
        </w:rPr>
        <w:t xml:space="preserve"> finaux. Avec TriFinance nous avons trouvé une excellent</w:t>
      </w:r>
      <w:r w:rsidR="009936C5" w:rsidRPr="00B55965">
        <w:rPr>
          <w:rFonts w:eastAsia="Verdana"/>
          <w:i/>
          <w:sz w:val="20"/>
          <w:szCs w:val="20"/>
          <w:lang w:val="fr-FR"/>
        </w:rPr>
        <w:t>e</w:t>
      </w:r>
      <w:r w:rsidR="000435F7" w:rsidRPr="00B55965">
        <w:rPr>
          <w:rFonts w:eastAsia="Verdana"/>
          <w:i/>
          <w:sz w:val="20"/>
          <w:szCs w:val="20"/>
          <w:lang w:val="fr-FR"/>
        </w:rPr>
        <w:t xml:space="preserve"> partie qui dispose d’un réseau important. Les clients finaux en tireront certainement profit, vu qu’ils pourront compter sur un service et une expertise supplémentaires</w:t>
      </w:r>
      <w:r w:rsidR="000435F7" w:rsidRPr="00B55965">
        <w:rPr>
          <w:rFonts w:eastAsia="Verdana"/>
          <w:sz w:val="20"/>
          <w:szCs w:val="20"/>
          <w:lang w:val="fr-FR"/>
        </w:rPr>
        <w:t>.’</w:t>
      </w:r>
    </w:p>
    <w:p w14:paraId="7C2925F4" w14:textId="77777777" w:rsidR="00DF1EDB" w:rsidRPr="00B55965" w:rsidRDefault="00DF1EDB" w:rsidP="00912046">
      <w:pPr>
        <w:spacing w:line="360" w:lineRule="auto"/>
        <w:rPr>
          <w:rFonts w:eastAsia="Verdana"/>
          <w:sz w:val="20"/>
          <w:szCs w:val="20"/>
          <w:lang w:val="fr-FR"/>
        </w:rPr>
      </w:pPr>
    </w:p>
    <w:p w14:paraId="56C3DB0A" w14:textId="53DD7E08" w:rsidR="0027628F" w:rsidRPr="00B55965" w:rsidRDefault="0027628F" w:rsidP="009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Verdana"/>
          <w:sz w:val="20"/>
          <w:szCs w:val="20"/>
          <w:lang w:val="fr-FR"/>
        </w:rPr>
      </w:pPr>
      <w:r w:rsidRPr="00B55965">
        <w:rPr>
          <w:rFonts w:eastAsia="Verdana"/>
          <w:sz w:val="20"/>
          <w:szCs w:val="20"/>
          <w:lang w:val="fr-FR"/>
        </w:rPr>
        <w:t>La solution</w:t>
      </w:r>
      <w:r w:rsidR="00140B63" w:rsidRPr="00B55965">
        <w:rPr>
          <w:rFonts w:eastAsia="Verdana"/>
          <w:sz w:val="20"/>
          <w:szCs w:val="20"/>
          <w:lang w:val="fr-FR"/>
        </w:rPr>
        <w:t xml:space="preserve"> e-procurement </w:t>
      </w:r>
      <w:r w:rsidRPr="00B55965">
        <w:rPr>
          <w:rFonts w:eastAsia="Verdana"/>
          <w:sz w:val="20"/>
          <w:szCs w:val="20"/>
          <w:lang w:val="fr-FR"/>
        </w:rPr>
        <w:t xml:space="preserve">de Basware est une des solutions les plus avancées sur le marché. Grâce à Basware il est possible d’atteindre 100% d’acceptation d’utilisateurs et d’automatiser le processus d’achat </w:t>
      </w:r>
      <w:r w:rsidR="00920B4C" w:rsidRPr="00B55965">
        <w:rPr>
          <w:rFonts w:eastAsia="Verdana"/>
          <w:sz w:val="20"/>
          <w:szCs w:val="20"/>
          <w:lang w:val="fr-FR"/>
        </w:rPr>
        <w:t>dans son entièreté</w:t>
      </w:r>
      <w:r w:rsidRPr="00B55965">
        <w:rPr>
          <w:rFonts w:eastAsia="Verdana"/>
          <w:sz w:val="20"/>
          <w:szCs w:val="20"/>
          <w:lang w:val="fr-FR"/>
        </w:rPr>
        <w:t xml:space="preserve"> : de la gestion du catalogue</w:t>
      </w:r>
      <w:r w:rsidR="00710E0D" w:rsidRPr="00B55965">
        <w:rPr>
          <w:rFonts w:eastAsia="Verdana"/>
          <w:sz w:val="20"/>
          <w:szCs w:val="20"/>
          <w:lang w:val="fr-FR"/>
        </w:rPr>
        <w:t xml:space="preserve"> à la demande de</w:t>
      </w:r>
      <w:r w:rsidR="0011524C" w:rsidRPr="00B55965">
        <w:rPr>
          <w:rFonts w:eastAsia="Verdana"/>
          <w:sz w:val="20"/>
          <w:szCs w:val="20"/>
          <w:lang w:val="fr-FR"/>
        </w:rPr>
        <w:t>s</w:t>
      </w:r>
      <w:r w:rsidR="00710E0D" w:rsidRPr="00B55965">
        <w:rPr>
          <w:rFonts w:eastAsia="Verdana"/>
          <w:sz w:val="20"/>
          <w:szCs w:val="20"/>
          <w:lang w:val="fr-FR"/>
        </w:rPr>
        <w:t xml:space="preserve"> co</w:t>
      </w:r>
      <w:r w:rsidR="00461386" w:rsidRPr="00B55965">
        <w:rPr>
          <w:rFonts w:eastAsia="Verdana"/>
          <w:sz w:val="20"/>
          <w:szCs w:val="20"/>
          <w:lang w:val="fr-FR"/>
        </w:rPr>
        <w:t xml:space="preserve">mmandes, ou des flux d’approbation </w:t>
      </w:r>
      <w:r w:rsidR="00F05ABD" w:rsidRPr="00B55965">
        <w:rPr>
          <w:rFonts w:eastAsia="Verdana"/>
          <w:sz w:val="20"/>
          <w:szCs w:val="20"/>
          <w:lang w:val="fr-FR"/>
        </w:rPr>
        <w:t>des travaux</w:t>
      </w:r>
      <w:r w:rsidR="0011524C" w:rsidRPr="00B55965">
        <w:rPr>
          <w:rFonts w:eastAsia="Verdana"/>
          <w:sz w:val="20"/>
          <w:szCs w:val="20"/>
          <w:lang w:val="fr-FR"/>
        </w:rPr>
        <w:t xml:space="preserve"> </w:t>
      </w:r>
      <w:r w:rsidR="00461386" w:rsidRPr="00B55965">
        <w:rPr>
          <w:rFonts w:eastAsia="Verdana"/>
          <w:sz w:val="20"/>
          <w:szCs w:val="20"/>
          <w:lang w:val="fr-FR"/>
        </w:rPr>
        <w:t>rapides à la livraison de</w:t>
      </w:r>
      <w:r w:rsidR="0011524C" w:rsidRPr="00B55965">
        <w:rPr>
          <w:rFonts w:eastAsia="Verdana"/>
          <w:sz w:val="20"/>
          <w:szCs w:val="20"/>
          <w:lang w:val="fr-FR"/>
        </w:rPr>
        <w:t>s</w:t>
      </w:r>
      <w:r w:rsidR="00461386" w:rsidRPr="00B55965">
        <w:rPr>
          <w:rFonts w:eastAsia="Verdana"/>
          <w:sz w:val="20"/>
          <w:szCs w:val="20"/>
          <w:lang w:val="fr-FR"/>
        </w:rPr>
        <w:t xml:space="preserve"> commandes, la </w:t>
      </w:r>
      <w:r w:rsidR="0011524C" w:rsidRPr="00B55965">
        <w:rPr>
          <w:rFonts w:eastAsia="Verdana"/>
          <w:sz w:val="20"/>
          <w:szCs w:val="20"/>
          <w:lang w:val="fr-FR"/>
        </w:rPr>
        <w:t>ré</w:t>
      </w:r>
      <w:r w:rsidR="00461386" w:rsidRPr="00B55965">
        <w:rPr>
          <w:rFonts w:eastAsia="Verdana"/>
          <w:sz w:val="20"/>
          <w:szCs w:val="20"/>
          <w:lang w:val="fr-FR"/>
        </w:rPr>
        <w:t>ception de</w:t>
      </w:r>
      <w:r w:rsidR="0011524C" w:rsidRPr="00B55965">
        <w:rPr>
          <w:rFonts w:eastAsia="Verdana"/>
          <w:sz w:val="20"/>
          <w:szCs w:val="20"/>
          <w:lang w:val="fr-FR"/>
        </w:rPr>
        <w:t>s</w:t>
      </w:r>
      <w:r w:rsidR="00461386" w:rsidRPr="00B55965">
        <w:rPr>
          <w:rFonts w:eastAsia="Verdana"/>
          <w:sz w:val="20"/>
          <w:szCs w:val="20"/>
          <w:lang w:val="fr-FR"/>
        </w:rPr>
        <w:t xml:space="preserve"> marchandises, les analyses de</w:t>
      </w:r>
      <w:r w:rsidR="0011524C" w:rsidRPr="00B55965">
        <w:rPr>
          <w:rFonts w:eastAsia="Verdana"/>
          <w:sz w:val="20"/>
          <w:szCs w:val="20"/>
          <w:lang w:val="fr-FR"/>
        </w:rPr>
        <w:t>s</w:t>
      </w:r>
      <w:r w:rsidR="00461386" w:rsidRPr="00B55965">
        <w:rPr>
          <w:rFonts w:eastAsia="Verdana"/>
          <w:sz w:val="20"/>
          <w:szCs w:val="20"/>
          <w:lang w:val="fr-FR"/>
        </w:rPr>
        <w:t xml:space="preserve"> dépenses et plus encore. </w:t>
      </w:r>
    </w:p>
    <w:p w14:paraId="09C3BDB8" w14:textId="426EA3FC" w:rsidR="00DF1EDB" w:rsidRPr="00B55965" w:rsidRDefault="00DF1EDB" w:rsidP="00912046">
      <w:pPr>
        <w:spacing w:line="360" w:lineRule="auto"/>
        <w:rPr>
          <w:rFonts w:eastAsia="Verdana"/>
          <w:sz w:val="20"/>
          <w:szCs w:val="20"/>
          <w:lang w:val="fr-FR"/>
        </w:rPr>
      </w:pPr>
    </w:p>
    <w:p w14:paraId="760FB3F8" w14:textId="77777777" w:rsidR="00B55965" w:rsidRPr="00B55965" w:rsidRDefault="00B55965" w:rsidP="00B55965">
      <w:pPr>
        <w:pStyle w:val="Normaalweb"/>
        <w:suppressAutoHyphens/>
        <w:spacing w:before="0" w:beforeAutospacing="0" w:after="0" w:afterAutospacing="0" w:line="360" w:lineRule="auto"/>
        <w:rPr>
          <w:rStyle w:val="Hyperlink"/>
          <w:rFonts w:ascii="Calibri" w:hAnsi="Calibri" w:cs="Calibri"/>
          <w:sz w:val="18"/>
          <w:szCs w:val="18"/>
          <w:lang w:val="fr-FR"/>
        </w:rPr>
      </w:pPr>
      <w:r w:rsidRPr="00B55965">
        <w:rPr>
          <w:rFonts w:ascii="Calibri" w:hAnsi="Calibri" w:cs="Calibri"/>
          <w:b/>
          <w:sz w:val="18"/>
          <w:szCs w:val="18"/>
          <w:lang w:val="fr-FR"/>
        </w:rPr>
        <w:t>À propos de Basware</w:t>
      </w:r>
      <w:r w:rsidRPr="00B55965">
        <w:rPr>
          <w:rFonts w:ascii="Calibri" w:hAnsi="Calibri" w:cs="Calibri"/>
          <w:b/>
          <w:sz w:val="18"/>
          <w:szCs w:val="18"/>
          <w:lang w:val="fr-FR"/>
        </w:rPr>
        <w:br/>
      </w:r>
      <w:r w:rsidRPr="00B55965">
        <w:rPr>
          <w:rFonts w:ascii="Calibri" w:hAnsi="Calibri" w:cs="Calibri"/>
          <w:sz w:val="18"/>
          <w:szCs w:val="18"/>
          <w:lang w:val="fr-FR"/>
        </w:rPr>
        <w:t xml:space="preserve">Basware est un fournisseur influent de solutions P2P en réseaux, de e-facturation et de services financiers innovants. Le réseau commercial et financier de Basware et présent dans plus de 100 pays et relie des entreprises dans le monde entier. Basware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8" w:history="1">
        <w:r w:rsidRPr="00B55965">
          <w:rPr>
            <w:rStyle w:val="Hyperlink"/>
            <w:rFonts w:ascii="Calibri" w:hAnsi="Calibri" w:cs="Calibri"/>
            <w:sz w:val="18"/>
            <w:szCs w:val="18"/>
            <w:lang w:val="fr-FR"/>
          </w:rPr>
          <w:t>www.basware.be</w:t>
        </w:r>
      </w:hyperlink>
    </w:p>
    <w:p w14:paraId="2995E219" w14:textId="77777777" w:rsidR="00B55965" w:rsidRPr="00B55965" w:rsidRDefault="00B55965" w:rsidP="00912046">
      <w:pPr>
        <w:spacing w:line="360" w:lineRule="auto"/>
        <w:rPr>
          <w:rFonts w:eastAsia="Verdana"/>
          <w:sz w:val="20"/>
          <w:szCs w:val="20"/>
          <w:lang w:val="fr-FR"/>
        </w:rPr>
      </w:pPr>
    </w:p>
    <w:p w14:paraId="265CCB01" w14:textId="77777777" w:rsidR="00912046" w:rsidRPr="00B55965" w:rsidRDefault="0079636E" w:rsidP="00912046">
      <w:pPr>
        <w:shd w:val="clear" w:color="auto" w:fill="FFFFFF"/>
        <w:spacing w:line="360" w:lineRule="auto"/>
        <w:rPr>
          <w:rFonts w:eastAsia="Verdana"/>
          <w:b/>
          <w:color w:val="0000FF"/>
          <w:sz w:val="18"/>
          <w:szCs w:val="18"/>
          <w:lang w:val="fr-FR"/>
        </w:rPr>
      </w:pPr>
      <w:r w:rsidRPr="00B55965">
        <w:rPr>
          <w:rFonts w:eastAsia="Verdana"/>
          <w:b/>
          <w:sz w:val="18"/>
          <w:szCs w:val="18"/>
          <w:lang w:val="fr-FR"/>
        </w:rPr>
        <w:t xml:space="preserve">À propos de </w:t>
      </w:r>
      <w:hyperlink r:id="rId9">
        <w:r w:rsidRPr="00B55965">
          <w:rPr>
            <w:rFonts w:eastAsia="Verdana"/>
            <w:b/>
            <w:color w:val="0000FF"/>
            <w:sz w:val="18"/>
            <w:szCs w:val="18"/>
            <w:u w:val="single"/>
            <w:lang w:val="fr-FR"/>
          </w:rPr>
          <w:t>TriFinance</w:t>
        </w:r>
      </w:hyperlink>
    </w:p>
    <w:p w14:paraId="4062DF9F" w14:textId="44EBD525" w:rsidR="0079636E" w:rsidRPr="00B55965" w:rsidRDefault="0079636E" w:rsidP="00912046">
      <w:pPr>
        <w:shd w:val="clear" w:color="auto" w:fill="FFFFFF"/>
        <w:spacing w:line="360" w:lineRule="auto"/>
        <w:rPr>
          <w:rFonts w:eastAsia="Verdana"/>
          <w:b/>
          <w:color w:val="0000FF"/>
          <w:sz w:val="18"/>
          <w:szCs w:val="18"/>
          <w:lang w:val="fr-FR"/>
        </w:rPr>
      </w:pPr>
      <w:r w:rsidRPr="00B55965">
        <w:rPr>
          <w:rFonts w:eastAsia="Verdana"/>
          <w:color w:val="222222"/>
          <w:sz w:val="18"/>
          <w:szCs w:val="18"/>
          <w:lang w:val="fr-FR"/>
        </w:rPr>
        <w:t>TriFinance est un prestataire de services innovant dans le domaine des Finances&amp;Consultance en Belgique, aux Pays-Bas,</w:t>
      </w:r>
      <w:r w:rsidR="008A56B8" w:rsidRPr="00B55965">
        <w:rPr>
          <w:rFonts w:eastAsia="Verdana"/>
          <w:color w:val="222222"/>
          <w:sz w:val="18"/>
          <w:szCs w:val="18"/>
          <w:lang w:val="fr-FR"/>
        </w:rPr>
        <w:t xml:space="preserve"> en Allemagne et au Luxembourg. Outre la transition et l</w:t>
      </w:r>
      <w:r w:rsidR="002406C6" w:rsidRPr="00B55965">
        <w:rPr>
          <w:rFonts w:eastAsia="Verdana"/>
          <w:color w:val="222222"/>
          <w:sz w:val="18"/>
          <w:szCs w:val="18"/>
          <w:lang w:val="fr-FR"/>
        </w:rPr>
        <w:t>e support, l’</w:t>
      </w:r>
      <w:r w:rsidR="00981D47" w:rsidRPr="00B55965">
        <w:rPr>
          <w:rFonts w:eastAsia="Verdana"/>
          <w:color w:val="222222"/>
          <w:sz w:val="18"/>
          <w:szCs w:val="18"/>
          <w:lang w:val="fr-FR"/>
        </w:rPr>
        <w:t>inté</w:t>
      </w:r>
      <w:r w:rsidR="002406C6" w:rsidRPr="00B55965">
        <w:rPr>
          <w:rFonts w:eastAsia="Verdana"/>
          <w:color w:val="222222"/>
          <w:sz w:val="18"/>
          <w:szCs w:val="18"/>
          <w:lang w:val="fr-FR"/>
        </w:rPr>
        <w:t xml:space="preserve">rim management et la mise-en-oeuvre de projets par le biais de </w:t>
      </w:r>
      <w:r w:rsidR="00A40712" w:rsidRPr="00B55965">
        <w:rPr>
          <w:rFonts w:eastAsia="Verdana"/>
          <w:color w:val="222222"/>
          <w:sz w:val="18"/>
          <w:szCs w:val="18"/>
          <w:lang w:val="fr-FR"/>
        </w:rPr>
        <w:t xml:space="preserve">dotations de ressources (Loi Programme du 27 décembre 2012), la société offre également </w:t>
      </w:r>
      <w:r w:rsidR="00A77B9C" w:rsidRPr="00B55965">
        <w:rPr>
          <w:rFonts w:eastAsia="Verdana"/>
          <w:color w:val="222222"/>
          <w:sz w:val="18"/>
          <w:szCs w:val="18"/>
          <w:lang w:val="fr-FR"/>
        </w:rPr>
        <w:t xml:space="preserve">ses services dans le recrutement et la </w:t>
      </w:r>
      <w:r w:rsidR="00981D47" w:rsidRPr="00B55965">
        <w:rPr>
          <w:rFonts w:eastAsia="Verdana"/>
          <w:color w:val="222222"/>
          <w:sz w:val="18"/>
          <w:szCs w:val="18"/>
          <w:lang w:val="fr-FR"/>
        </w:rPr>
        <w:t>sé</w:t>
      </w:r>
      <w:r w:rsidR="00A77B9C" w:rsidRPr="00B55965">
        <w:rPr>
          <w:rFonts w:eastAsia="Verdana"/>
          <w:color w:val="222222"/>
          <w:sz w:val="18"/>
          <w:szCs w:val="18"/>
          <w:lang w:val="fr-FR"/>
        </w:rPr>
        <w:t xml:space="preserve">lection. TriFinance dispose également d’un vaste </w:t>
      </w:r>
      <w:r w:rsidR="00981D47" w:rsidRPr="00B55965">
        <w:rPr>
          <w:rFonts w:eastAsia="Verdana"/>
          <w:color w:val="222222"/>
          <w:sz w:val="18"/>
          <w:szCs w:val="18"/>
          <w:lang w:val="fr-FR"/>
        </w:rPr>
        <w:t>éventail</w:t>
      </w:r>
      <w:r w:rsidR="00A77B9C" w:rsidRPr="00B55965">
        <w:rPr>
          <w:rFonts w:eastAsia="Verdana"/>
          <w:color w:val="222222"/>
          <w:sz w:val="18"/>
          <w:szCs w:val="18"/>
          <w:lang w:val="fr-FR"/>
        </w:rPr>
        <w:t xml:space="preserve"> </w:t>
      </w:r>
      <w:r w:rsidR="00E00610" w:rsidRPr="00B55965">
        <w:rPr>
          <w:rFonts w:eastAsia="Verdana"/>
          <w:color w:val="222222"/>
          <w:sz w:val="18"/>
          <w:szCs w:val="18"/>
          <w:lang w:val="fr-FR"/>
        </w:rPr>
        <w:t xml:space="preserve">de consultants de projets extrêmement spécialisés et flexibles. </w:t>
      </w:r>
    </w:p>
    <w:p w14:paraId="39C73A8F" w14:textId="21D6E796" w:rsidR="008C3AD2" w:rsidRPr="00B55965" w:rsidRDefault="00E00610" w:rsidP="00912046">
      <w:pPr>
        <w:shd w:val="clear" w:color="auto" w:fill="FFFFFF"/>
        <w:spacing w:line="360" w:lineRule="auto"/>
        <w:rPr>
          <w:rFonts w:eastAsia="Verdana"/>
          <w:color w:val="222222"/>
          <w:sz w:val="18"/>
          <w:szCs w:val="18"/>
          <w:lang w:val="fr-FR"/>
        </w:rPr>
      </w:pPr>
      <w:r w:rsidRPr="00B55965">
        <w:rPr>
          <w:rFonts w:eastAsia="Verdana"/>
          <w:color w:val="222222"/>
          <w:sz w:val="18"/>
          <w:szCs w:val="18"/>
          <w:lang w:val="fr-FR"/>
        </w:rPr>
        <w:t>L’activité de consultance de manag</w:t>
      </w:r>
      <w:r w:rsidR="00981D47" w:rsidRPr="00B55965">
        <w:rPr>
          <w:rFonts w:eastAsia="Verdana"/>
          <w:color w:val="222222"/>
          <w:sz w:val="18"/>
          <w:szCs w:val="18"/>
          <w:lang w:val="fr-FR"/>
        </w:rPr>
        <w:t>e</w:t>
      </w:r>
      <w:r w:rsidRPr="00B55965">
        <w:rPr>
          <w:rFonts w:eastAsia="Verdana"/>
          <w:color w:val="222222"/>
          <w:sz w:val="18"/>
          <w:szCs w:val="18"/>
          <w:lang w:val="fr-FR"/>
        </w:rPr>
        <w:t xml:space="preserve">ment est un énorme pôle de croissance pour TriFinance, </w:t>
      </w:r>
      <w:r w:rsidR="006B59DA" w:rsidRPr="00B55965">
        <w:rPr>
          <w:rFonts w:eastAsia="Verdana"/>
          <w:color w:val="222222"/>
          <w:sz w:val="18"/>
          <w:szCs w:val="18"/>
          <w:lang w:val="fr-FR"/>
        </w:rPr>
        <w:t xml:space="preserve">où des équipes multidisciplinaires offrent des conseils pragmatiques à des sociétés des secteurs public et privé et également </w:t>
      </w:r>
      <w:r w:rsidR="008C3AD2" w:rsidRPr="00B55965">
        <w:rPr>
          <w:rFonts w:eastAsia="Verdana"/>
          <w:color w:val="222222"/>
          <w:sz w:val="18"/>
          <w:szCs w:val="18"/>
          <w:lang w:val="fr-FR"/>
        </w:rPr>
        <w:t>à des institutions financières.</w:t>
      </w:r>
      <w:r w:rsidR="00981D47" w:rsidRPr="00B55965">
        <w:rPr>
          <w:rFonts w:eastAsia="Verdana"/>
          <w:color w:val="222222"/>
          <w:sz w:val="18"/>
          <w:szCs w:val="18"/>
          <w:lang w:val="fr-FR"/>
        </w:rPr>
        <w:t xml:space="preserve"> </w:t>
      </w:r>
      <w:r w:rsidR="006B59DA" w:rsidRPr="00B55965">
        <w:rPr>
          <w:rFonts w:eastAsia="Verdana"/>
          <w:color w:val="222222"/>
          <w:sz w:val="18"/>
          <w:szCs w:val="18"/>
          <w:lang w:val="fr-FR"/>
        </w:rPr>
        <w:t xml:space="preserve">TriFinance s’occupe également de la mise-en-oeuvre et de la </w:t>
      </w:r>
      <w:r w:rsidR="00981D47" w:rsidRPr="00B55965">
        <w:rPr>
          <w:rFonts w:eastAsia="Verdana"/>
          <w:color w:val="222222"/>
          <w:sz w:val="18"/>
          <w:szCs w:val="18"/>
          <w:lang w:val="fr-FR"/>
        </w:rPr>
        <w:t>réalisation de leurs projets</w:t>
      </w:r>
      <w:r w:rsidR="006B59DA" w:rsidRPr="00B55965">
        <w:rPr>
          <w:rFonts w:eastAsia="Verdana"/>
          <w:color w:val="222222"/>
          <w:sz w:val="18"/>
          <w:szCs w:val="18"/>
          <w:lang w:val="fr-FR"/>
        </w:rPr>
        <w:t xml:space="preserve">. </w:t>
      </w:r>
      <w:r w:rsidR="0079636E" w:rsidRPr="00B55965">
        <w:rPr>
          <w:rFonts w:eastAsia="Verdana"/>
          <w:color w:val="222222"/>
          <w:sz w:val="18"/>
          <w:szCs w:val="18"/>
          <w:lang w:val="fr-FR"/>
        </w:rPr>
        <w:t xml:space="preserve">TriFinance </w:t>
      </w:r>
      <w:r w:rsidR="008C3AD2" w:rsidRPr="00B55965">
        <w:rPr>
          <w:rFonts w:eastAsia="Verdana"/>
          <w:color w:val="222222"/>
          <w:sz w:val="18"/>
          <w:szCs w:val="18"/>
          <w:lang w:val="fr-FR"/>
        </w:rPr>
        <w:t>a des sites à Amsterdam, Rotterdam, Anvers, Gand, Bruxelles, Hasselt, Louvain-la-Neuve, Hambourg, Munich, Düsseldorf et Luxembourg. En tant qu’organisat</w:t>
      </w:r>
      <w:r w:rsidR="00981D47" w:rsidRPr="00B55965">
        <w:rPr>
          <w:rFonts w:eastAsia="Verdana"/>
          <w:color w:val="222222"/>
          <w:sz w:val="18"/>
          <w:szCs w:val="18"/>
          <w:lang w:val="fr-FR"/>
        </w:rPr>
        <w:t xml:space="preserve">ion en réseaux et en mettant l’accent </w:t>
      </w:r>
      <w:r w:rsidR="008C3AD2" w:rsidRPr="00B55965">
        <w:rPr>
          <w:rFonts w:eastAsia="Verdana"/>
          <w:color w:val="222222"/>
          <w:sz w:val="18"/>
          <w:szCs w:val="18"/>
          <w:lang w:val="fr-FR"/>
        </w:rPr>
        <w:t xml:space="preserve">sur le développement humain, le partage de connaissances, l’innovation et le développement d’organisations, elle appartient à la société néerlandaise Parklane Insight, </w:t>
      </w:r>
      <w:r w:rsidR="00981D47" w:rsidRPr="00B55965">
        <w:rPr>
          <w:rFonts w:eastAsia="Verdana"/>
          <w:color w:val="222222"/>
          <w:sz w:val="18"/>
          <w:szCs w:val="18"/>
          <w:lang w:val="fr-FR"/>
        </w:rPr>
        <w:t xml:space="preserve">une entreprise de croissance européenne </w:t>
      </w:r>
      <w:r w:rsidR="008C3AD2" w:rsidRPr="00B55965">
        <w:rPr>
          <w:rFonts w:eastAsia="Verdana"/>
          <w:color w:val="222222"/>
          <w:sz w:val="18"/>
          <w:szCs w:val="18"/>
          <w:lang w:val="fr-FR"/>
        </w:rPr>
        <w:t>comptant 800 collaborateurs. Leur mission est : ‘Furthering People fo</w:t>
      </w:r>
      <w:r w:rsidR="00E8040C" w:rsidRPr="00B55965">
        <w:rPr>
          <w:rFonts w:eastAsia="Verdana"/>
          <w:color w:val="222222"/>
          <w:sz w:val="18"/>
          <w:szCs w:val="18"/>
          <w:lang w:val="fr-FR"/>
        </w:rPr>
        <w:t>r Better Performance in Do-How’</w:t>
      </w:r>
      <w:r w:rsidR="00E8040C" w:rsidRPr="00B55965">
        <w:rPr>
          <w:sz w:val="18"/>
          <w:szCs w:val="18"/>
          <w:lang w:val="fr-FR"/>
        </w:rPr>
        <w:footnoteReference w:id="2"/>
      </w:r>
      <w:r w:rsidR="00E8040C" w:rsidRPr="00B55965">
        <w:rPr>
          <w:rFonts w:eastAsia="Verdana"/>
          <w:color w:val="222222"/>
          <w:sz w:val="18"/>
          <w:szCs w:val="18"/>
          <w:lang w:val="fr-FR"/>
        </w:rPr>
        <w:t>.</w:t>
      </w:r>
    </w:p>
    <w:p w14:paraId="39C45BD2" w14:textId="77777777" w:rsidR="00912046" w:rsidRPr="00B55965" w:rsidRDefault="00912046" w:rsidP="00912046">
      <w:pPr>
        <w:pStyle w:val="Body"/>
        <w:spacing w:after="0" w:line="360" w:lineRule="auto"/>
        <w:rPr>
          <w:color w:val="auto"/>
          <w:sz w:val="18"/>
          <w:szCs w:val="18"/>
          <w:lang w:val="fr-FR"/>
        </w:rPr>
      </w:pPr>
    </w:p>
    <w:p w14:paraId="43D4D621" w14:textId="77777777" w:rsidR="00912046" w:rsidRPr="00B55965" w:rsidRDefault="00912046" w:rsidP="00912046">
      <w:pPr>
        <w:suppressAutoHyphens/>
        <w:spacing w:line="360" w:lineRule="auto"/>
        <w:rPr>
          <w:b/>
          <w:sz w:val="17"/>
          <w:szCs w:val="17"/>
          <w:lang w:val="fr-FR"/>
        </w:rPr>
      </w:pPr>
      <w:r w:rsidRPr="00B55965">
        <w:rPr>
          <w:b/>
          <w:sz w:val="18"/>
          <w:szCs w:val="18"/>
          <w:lang w:val="fr-FR"/>
        </w:rPr>
        <w:t>Informations pour la presse</w:t>
      </w:r>
      <w:r w:rsidRPr="00B55965">
        <w:rPr>
          <w:b/>
          <w:sz w:val="18"/>
          <w:szCs w:val="18"/>
          <w:lang w:val="fr-FR"/>
        </w:rPr>
        <w:br/>
      </w:r>
      <w:r w:rsidRPr="00B55965">
        <w:rPr>
          <w:sz w:val="17"/>
          <w:szCs w:val="17"/>
          <w:lang w:val="fr-FR"/>
        </w:rPr>
        <w:t xml:space="preserve">Square Egg Communications, Sandra Van Hauwaert, </w:t>
      </w:r>
      <w:hyperlink r:id="rId10" w:history="1">
        <w:r w:rsidRPr="00B55965">
          <w:rPr>
            <w:rStyle w:val="Hyperlink"/>
            <w:rFonts w:cs="Calibri"/>
            <w:sz w:val="17"/>
            <w:szCs w:val="17"/>
            <w:lang w:val="fr-FR"/>
          </w:rPr>
          <w:t>sandra@square-egg.be</w:t>
        </w:r>
      </w:hyperlink>
      <w:r w:rsidRPr="00B55965">
        <w:rPr>
          <w:sz w:val="17"/>
          <w:szCs w:val="17"/>
          <w:lang w:val="fr-FR"/>
        </w:rPr>
        <w:t>, GSM 0497251816</w:t>
      </w:r>
    </w:p>
    <w:p w14:paraId="57442DA9" w14:textId="3264B6AD" w:rsidR="00DF1EDB" w:rsidRPr="00B55965" w:rsidRDefault="00B55965" w:rsidP="00912046">
      <w:pPr>
        <w:spacing w:line="360" w:lineRule="auto"/>
        <w:rPr>
          <w:rFonts w:eastAsia="Verdana"/>
          <w:sz w:val="17"/>
          <w:szCs w:val="17"/>
          <w:lang w:val="fr-FR"/>
        </w:rPr>
      </w:pPr>
      <w:r w:rsidRPr="00B55965">
        <w:rPr>
          <w:rFonts w:eastAsia="Verdana"/>
          <w:sz w:val="17"/>
          <w:szCs w:val="17"/>
          <w:lang w:val="fr-FR"/>
        </w:rPr>
        <w:t xml:space="preserve">Dirk van Bastelaere, Responsable des communications TriFinance CFO Services, </w:t>
      </w:r>
      <w:hyperlink r:id="rId11">
        <w:r w:rsidRPr="00B55965">
          <w:rPr>
            <w:rFonts w:eastAsia="Verdana"/>
            <w:color w:val="1155CC"/>
            <w:sz w:val="17"/>
            <w:szCs w:val="17"/>
            <w:u w:val="single"/>
            <w:lang w:val="fr-FR"/>
          </w:rPr>
          <w:t>dirk.vanbastelaere@trifinance.be</w:t>
        </w:r>
      </w:hyperlink>
      <w:r w:rsidRPr="00B55965">
        <w:rPr>
          <w:rFonts w:eastAsia="Verdana"/>
          <w:sz w:val="17"/>
          <w:szCs w:val="17"/>
          <w:lang w:val="fr-FR"/>
        </w:rPr>
        <w:t>, 0498 946 952</w:t>
      </w:r>
    </w:p>
    <w:sectPr w:rsidR="00DF1EDB" w:rsidRPr="00B55965">
      <w:headerReference w:type="default" r:id="rId12"/>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1251" w14:textId="77777777" w:rsidR="00114668" w:rsidRDefault="00114668">
      <w:r>
        <w:separator/>
      </w:r>
    </w:p>
  </w:endnote>
  <w:endnote w:type="continuationSeparator" w:id="0">
    <w:p w14:paraId="3022F892" w14:textId="77777777" w:rsidR="00114668" w:rsidRDefault="0011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F81D" w14:textId="77777777" w:rsidR="00114668" w:rsidRDefault="00114668">
      <w:r>
        <w:separator/>
      </w:r>
    </w:p>
  </w:footnote>
  <w:footnote w:type="continuationSeparator" w:id="0">
    <w:p w14:paraId="5DA654BC" w14:textId="77777777" w:rsidR="00114668" w:rsidRDefault="00114668">
      <w:r>
        <w:continuationSeparator/>
      </w:r>
    </w:p>
  </w:footnote>
  <w:footnote w:id="1">
    <w:p w14:paraId="512E3D2C" w14:textId="3A2556DC" w:rsidR="002C43CB" w:rsidRPr="0045234C" w:rsidRDefault="002C43CB">
      <w:pPr>
        <w:pStyle w:val="Voetnoottekst"/>
        <w:rPr>
          <w:sz w:val="16"/>
          <w:szCs w:val="16"/>
        </w:rPr>
      </w:pPr>
      <w:r>
        <w:rPr>
          <w:rStyle w:val="Voetnootmarkering"/>
        </w:rPr>
        <w:footnoteRef/>
      </w:r>
      <w:r>
        <w:t xml:space="preserve"> </w:t>
      </w:r>
      <w:r w:rsidRPr="0045234C">
        <w:rPr>
          <w:sz w:val="16"/>
          <w:szCs w:val="16"/>
        </w:rPr>
        <w:t>De l’achat au paiement (ndlt)</w:t>
      </w:r>
    </w:p>
  </w:footnote>
  <w:footnote w:id="2">
    <w:p w14:paraId="7878F3DE" w14:textId="13EB67CE" w:rsidR="00E8040C" w:rsidRPr="00E8040C" w:rsidRDefault="00E8040C">
      <w:pPr>
        <w:pStyle w:val="Voetnoottekst"/>
        <w:rPr>
          <w:sz w:val="18"/>
          <w:szCs w:val="18"/>
        </w:rPr>
      </w:pPr>
      <w:r w:rsidRPr="00E8040C">
        <w:rPr>
          <w:rStyle w:val="Voetnootmarkering"/>
          <w:sz w:val="18"/>
          <w:szCs w:val="18"/>
        </w:rPr>
        <w:footnoteRef/>
      </w:r>
      <w:r w:rsidRPr="00E8040C">
        <w:rPr>
          <w:sz w:val="18"/>
          <w:szCs w:val="18"/>
        </w:rPr>
        <w:t xml:space="preserve"> Faire progresser les gens dans leurs performances et leur savoir-faire (ndlt)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D7D2" w14:textId="77777777" w:rsidR="00DF1EDB" w:rsidRDefault="00140B63">
    <w:r>
      <w:rPr>
        <w:rFonts w:ascii="Verdana" w:eastAsia="Verdana" w:hAnsi="Verdana" w:cs="Verdana"/>
        <w:b/>
        <w:noProof/>
        <w:sz w:val="28"/>
        <w:szCs w:val="28"/>
        <w:lang w:val="nl-NL"/>
      </w:rPr>
      <w:drawing>
        <wp:inline distT="114300" distB="114300" distL="114300" distR="114300" wp14:anchorId="33003BB8" wp14:editId="2AFFD0F8">
          <wp:extent cx="1476693" cy="514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104" r="8015"/>
                  <a:stretch>
                    <a:fillRect/>
                  </a:stretch>
                </pic:blipFill>
                <pic:spPr>
                  <a:xfrm>
                    <a:off x="0" y="0"/>
                    <a:ext cx="1476693" cy="514350"/>
                  </a:xfrm>
                  <a:prstGeom prst="rect">
                    <a:avLst/>
                  </a:prstGeom>
                  <a:ln/>
                </pic:spPr>
              </pic:pic>
            </a:graphicData>
          </a:graphic>
        </wp:inline>
      </w:drawing>
    </w:r>
    <w:r>
      <w:rPr>
        <w:rFonts w:ascii="Verdana" w:eastAsia="Verdana" w:hAnsi="Verdana" w:cs="Verdana"/>
        <w:b/>
        <w:sz w:val="28"/>
        <w:szCs w:val="28"/>
      </w:rPr>
      <w:t xml:space="preserve">                           </w:t>
    </w:r>
    <w:r>
      <w:rPr>
        <w:rFonts w:ascii="Verdana" w:eastAsia="Verdana" w:hAnsi="Verdana" w:cs="Verdana"/>
        <w:b/>
        <w:noProof/>
        <w:sz w:val="28"/>
        <w:szCs w:val="28"/>
        <w:lang w:val="nl-NL"/>
      </w:rPr>
      <w:drawing>
        <wp:inline distT="114300" distB="114300" distL="114300" distR="114300" wp14:anchorId="33008CBE" wp14:editId="372415EA">
          <wp:extent cx="2304733" cy="6095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8177" r="8177"/>
                  <a:stretch>
                    <a:fillRect/>
                  </a:stretch>
                </pic:blipFill>
                <pic:spPr>
                  <a:xfrm>
                    <a:off x="0" y="0"/>
                    <a:ext cx="2304733" cy="6095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DB"/>
    <w:rsid w:val="00026AB3"/>
    <w:rsid w:val="000435F7"/>
    <w:rsid w:val="00114668"/>
    <w:rsid w:val="0011524C"/>
    <w:rsid w:val="00140B63"/>
    <w:rsid w:val="0017523E"/>
    <w:rsid w:val="001B17E7"/>
    <w:rsid w:val="001B689C"/>
    <w:rsid w:val="002406C6"/>
    <w:rsid w:val="00242213"/>
    <w:rsid w:val="0027628F"/>
    <w:rsid w:val="002C43CB"/>
    <w:rsid w:val="0045234C"/>
    <w:rsid w:val="00461386"/>
    <w:rsid w:val="00472016"/>
    <w:rsid w:val="004D155D"/>
    <w:rsid w:val="005A116A"/>
    <w:rsid w:val="005A1814"/>
    <w:rsid w:val="006016A1"/>
    <w:rsid w:val="00675973"/>
    <w:rsid w:val="006B59DA"/>
    <w:rsid w:val="00710E0D"/>
    <w:rsid w:val="007526F7"/>
    <w:rsid w:val="0079636E"/>
    <w:rsid w:val="008A56B8"/>
    <w:rsid w:val="008C3AD2"/>
    <w:rsid w:val="00912046"/>
    <w:rsid w:val="00920B4C"/>
    <w:rsid w:val="00981D47"/>
    <w:rsid w:val="009936C5"/>
    <w:rsid w:val="009A304D"/>
    <w:rsid w:val="00A40712"/>
    <w:rsid w:val="00A64665"/>
    <w:rsid w:val="00A77B9C"/>
    <w:rsid w:val="00AA0F4D"/>
    <w:rsid w:val="00B55965"/>
    <w:rsid w:val="00BC7A2E"/>
    <w:rsid w:val="00CB695D"/>
    <w:rsid w:val="00D70CF7"/>
    <w:rsid w:val="00D811D9"/>
    <w:rsid w:val="00DF1EDB"/>
    <w:rsid w:val="00E00610"/>
    <w:rsid w:val="00E8040C"/>
    <w:rsid w:val="00ED232A"/>
    <w:rsid w:val="00EE32D7"/>
    <w:rsid w:val="00F05ABD"/>
    <w:rsid w:val="00F20F5F"/>
    <w:rsid w:val="00FC2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21C3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uiPriority w:val="99"/>
    <w:rsid w:val="0066106F"/>
    <w:rPr>
      <w:rFonts w:cs="Times New Roman"/>
      <w:color w:val="0000FF"/>
      <w:u w:val="single"/>
    </w:rPr>
  </w:style>
  <w:style w:type="paragraph" w:styleId="HTML-voorafopgemaakt">
    <w:name w:val="HTML Preformatted"/>
    <w:basedOn w:val="Standaard"/>
    <w:link w:val="HTML-voorafopgemaaktChar"/>
    <w:uiPriority w:val="99"/>
    <w:semiHidden/>
    <w:unhideWhenUsed/>
    <w:rsid w:val="00D6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60381"/>
    <w:rPr>
      <w:rFonts w:ascii="Courier New" w:eastAsia="Times New Roman" w:hAnsi="Courier New" w:cs="Courier New"/>
      <w:sz w:val="20"/>
      <w:szCs w:val="20"/>
      <w:lang w:eastAsia="nl-NL"/>
    </w:rPr>
  </w:style>
  <w:style w:type="character" w:customStyle="1" w:styleId="Onopgelostemelding1">
    <w:name w:val="Onopgeloste melding1"/>
    <w:basedOn w:val="Standaardalinea-lettertype"/>
    <w:uiPriority w:val="99"/>
    <w:semiHidden/>
    <w:unhideWhenUsed/>
    <w:rsid w:val="00D60381"/>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Voetnoottekst">
    <w:name w:val="footnote text"/>
    <w:basedOn w:val="Standaard"/>
    <w:link w:val="VoetnoottekstChar"/>
    <w:uiPriority w:val="99"/>
    <w:unhideWhenUsed/>
    <w:rsid w:val="00E8040C"/>
  </w:style>
  <w:style w:type="character" w:customStyle="1" w:styleId="VoetnoottekstChar">
    <w:name w:val="Voetnoottekst Char"/>
    <w:basedOn w:val="Standaardalinea-lettertype"/>
    <w:link w:val="Voetnoottekst"/>
    <w:uiPriority w:val="99"/>
    <w:rsid w:val="00E8040C"/>
  </w:style>
  <w:style w:type="character" w:styleId="Voetnootmarkering">
    <w:name w:val="footnote reference"/>
    <w:basedOn w:val="Standaardalinea-lettertype"/>
    <w:uiPriority w:val="99"/>
    <w:unhideWhenUsed/>
    <w:rsid w:val="00E8040C"/>
    <w:rPr>
      <w:vertAlign w:val="superscript"/>
    </w:rPr>
  </w:style>
  <w:style w:type="paragraph" w:styleId="Normaalweb">
    <w:name w:val="Normal (Web)"/>
    <w:basedOn w:val="Standaard"/>
    <w:uiPriority w:val="99"/>
    <w:unhideWhenUsed/>
    <w:rsid w:val="00912046"/>
    <w:pPr>
      <w:spacing w:before="100" w:beforeAutospacing="1" w:after="100" w:afterAutospacing="1"/>
    </w:pPr>
    <w:rPr>
      <w:rFonts w:ascii="Times New Roman" w:eastAsia="Times New Roman" w:hAnsi="Times New Roman" w:cs="Times New Roman"/>
      <w:lang w:val="fi-FI" w:eastAsia="fi-FI"/>
    </w:rPr>
  </w:style>
  <w:style w:type="paragraph" w:customStyle="1" w:styleId="Body">
    <w:name w:val="Body"/>
    <w:rsid w:val="00912046"/>
    <w:pPr>
      <w:pBdr>
        <w:top w:val="nil"/>
        <w:left w:val="nil"/>
        <w:bottom w:val="nil"/>
        <w:right w:val="nil"/>
        <w:between w:val="nil"/>
        <w:bar w:val="nil"/>
      </w:pBdr>
      <w:spacing w:after="160" w:line="259" w:lineRule="auto"/>
    </w:pPr>
    <w:rPr>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aswar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k.vanbastelaere@trifinance.be" TargetMode="External"/><Relationship Id="rId5" Type="http://schemas.openxmlformats.org/officeDocument/2006/relationships/webSettings" Target="webSettings.xml"/><Relationship Id="rId10" Type="http://schemas.openxmlformats.org/officeDocument/2006/relationships/hyperlink" Target="mailto:sandra@square-egg.be" TargetMode="External"/><Relationship Id="rId4" Type="http://schemas.openxmlformats.org/officeDocument/2006/relationships/settings" Target="settings.xml"/><Relationship Id="rId9" Type="http://schemas.openxmlformats.org/officeDocument/2006/relationships/hyperlink" Target="https://trifinance.com/en-be/cont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rJ0qtTaTGlEUZtsTij3rQweA==">AMUW2mVoIU7pBwDFGfYtr39R+c55BVz5CTD0lscRgkPA2l+RDfKn6J2c9OVg8SUtrEnHrQxMLCLEg4pGTcAMxShKgnCokzqglaLnb/SMAMHJg/gS55JyS2dEvAtLBKFJasOYd9k6HD9x</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F66520-04C8-3848-9D58-8811C416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Hauwaert</dc:creator>
  <cp:lastModifiedBy>Sandra Van Hauwaert</cp:lastModifiedBy>
  <cp:revision>4</cp:revision>
  <dcterms:created xsi:type="dcterms:W3CDTF">2020-10-26T13:14:00Z</dcterms:created>
  <dcterms:modified xsi:type="dcterms:W3CDTF">2020-10-26T13:24:00Z</dcterms:modified>
</cp:coreProperties>
</file>